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right="-834.3307086614169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114300</wp:posOffset>
            </wp:positionV>
            <wp:extent cx="1477328" cy="1975703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7328" cy="19757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 w:right="-83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right="-83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Materiais: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lineRule="auto"/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Vídeo para visualização do conto da história “Baralhando Histórias”;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Guião de Exploração da história.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right="-83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right="-83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right="-83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-834.3307086614169" w:firstLine="0"/>
        <w:jc w:val="both"/>
        <w:rPr/>
      </w:pPr>
      <w:r w:rsidDel="00000000" w:rsidR="00000000" w:rsidRPr="00000000">
        <w:rPr>
          <w:b w:val="1"/>
          <w:rtl w:val="0"/>
        </w:rPr>
        <w:t xml:space="preserve">Objetivos: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Promover o desenvolvimento de capacidades conversacionais, através da exploração conjunta do livro, usando vocabulário diversificado;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line="240" w:lineRule="auto"/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Estimular a compreensão de histórias e o interesse pelo mundo da leitura;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="240" w:lineRule="auto"/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Refletir sobre a capa;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="240" w:lineRule="auto"/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Promover o desenvolvimento da imaginação e da criatividade.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834.3307086614169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834.3307086614169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Antes da visualização da história: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720" w:right="-834.3307086614169" w:hanging="360"/>
        <w:jc w:val="both"/>
        <w:rPr/>
      </w:pPr>
      <w:r w:rsidDel="00000000" w:rsidR="00000000" w:rsidRPr="00000000">
        <w:rPr>
          <w:rtl w:val="0"/>
        </w:rPr>
        <w:t xml:space="preserve">Tente explorar os vários elementos da capa, despertando o interesse da criança para a leitura da história.  Estas questões permitem que a criança fique mais atenta e promovem a imaginação.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lineRule="auto"/>
        <w:ind w:left="1440" w:right="-834.3307086614169" w:hanging="360"/>
        <w:jc w:val="both"/>
        <w:rPr/>
      </w:pPr>
      <w:r w:rsidDel="00000000" w:rsidR="00000000" w:rsidRPr="00000000">
        <w:rPr>
          <w:rtl w:val="0"/>
        </w:rPr>
        <w:t xml:space="preserve">O que vês na capa da história?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achas que vai acontecer?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serão as personagens da história?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tem a girafa na boca?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Onde está o título? Quantas palavras tem? Consegues dizer que letras são aquelas?</w:t>
      </w:r>
    </w:p>
    <w:p w:rsidR="00000000" w:rsidDel="00000000" w:rsidP="00000000" w:rsidRDefault="00000000" w:rsidRPr="00000000" w14:paraId="00000016">
      <w:pPr>
        <w:spacing w:after="0" w:lineRule="auto"/>
        <w:ind w:left="0" w:right="-834.3307086614169" w:firstLine="0"/>
        <w:jc w:val="both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1440" w:right="-83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0" w:right="-834.3307086614169" w:firstLine="0"/>
        <w:jc w:val="both"/>
        <w:rPr/>
      </w:pPr>
      <w:r w:rsidDel="00000000" w:rsidR="00000000" w:rsidRPr="00000000">
        <w:rPr>
          <w:b w:val="1"/>
          <w:rtl w:val="0"/>
        </w:rPr>
        <w:t xml:space="preserve">Após a visualização da história: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Rule="auto"/>
        <w:ind w:left="72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Faça perguntas à criança para explorarem em conjunto os vários acontecimentos da história e tente que esta expresse a sua opinião e se envolva na história. Permite trabalhar compreensão e memória: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Quem é a personagem principal da história?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pediu a mãe que ela levasse?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Quem é que ela encontrou pelo caminho?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Quem estava a contar a história?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 história estava o avô a tentar contar?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Que factos é que ele alterou?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1440" w:right="-834.3307086614169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Alguém da tua família também costuma baralhar histórias? Quem?</w:t>
      </w:r>
    </w:p>
    <w:p w:rsidR="00000000" w:rsidDel="00000000" w:rsidP="00000000" w:rsidRDefault="00000000" w:rsidRPr="00000000" w14:paraId="00000021">
      <w:pPr>
        <w:spacing w:after="0" w:lineRule="auto"/>
        <w:ind w:left="1440" w:right="-83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00" w:lineRule="auto"/>
        <w:ind w:left="720" w:right="-834.3307086614169" w:hanging="360"/>
        <w:jc w:val="both"/>
        <w:rPr/>
      </w:pPr>
      <w:r w:rsidDel="00000000" w:rsidR="00000000" w:rsidRPr="00000000">
        <w:rPr>
          <w:rtl w:val="0"/>
        </w:rPr>
        <w:t xml:space="preserve">Peça à criança para recontar a história, por palavras suas, de modo a perceber se compreendeu os vários acontecimentos e a estimular o seu discurso oral.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lineRule="auto"/>
        <w:ind w:left="720" w:right="-834.3307086614169" w:hanging="360"/>
        <w:jc w:val="both"/>
        <w:rPr/>
      </w:pPr>
      <w:r w:rsidDel="00000000" w:rsidR="00000000" w:rsidRPr="00000000">
        <w:rPr>
          <w:rtl w:val="0"/>
        </w:rPr>
        <w:t xml:space="preserve">Proposta de atividade - escolha uma história com a criança e peça para que ela a conte alterando determinadas partes a seu gosto.</w:t>
      </w:r>
    </w:p>
    <w:sectPr>
      <w:headerReference r:id="rId8" w:type="default"/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Guião de Exploração da história “Baralhando Histórias ”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6Q9LZMeJvECFFFuEKOXDM2yy7A==">AMUW2mVRXQdjgdDrgAsL7v7P301dS7I5Tj9bfm240kGg3iwGEiVzCFzQmaie0OtRtAWuCFQAr2laN/dhNYx22wmCa/NgnuVyRbZLwYqctSQOW2XNRFmXRFA=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2020-03-31T14:01:00Z</dcterms:created>
  <dc:creator>Cristiana Mira</dc:creator>
</cp:coreProperties>
</file>